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DD4A3E">
        <w:rPr>
          <w:rFonts w:ascii="宋体" w:hAnsi="宋体" w:hint="eastAsia"/>
          <w:color w:val="000000"/>
          <w:szCs w:val="21"/>
        </w:rPr>
        <w:t>10</w:t>
      </w:r>
      <w:r>
        <w:rPr>
          <w:rFonts w:ascii="宋体" w:hAnsi="宋体" w:hint="eastAsia"/>
          <w:color w:val="000000"/>
          <w:szCs w:val="21"/>
        </w:rPr>
        <w:t>月</w:t>
      </w:r>
      <w:r w:rsidR="00DD4A3E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093087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693319" w:rsidRPr="00693319">
        <w:rPr>
          <w:rFonts w:ascii="宋体" w:hAnsi="宋体" w:hint="eastAsia"/>
          <w:color w:val="000000"/>
          <w:sz w:val="28"/>
          <w:szCs w:val="28"/>
        </w:rPr>
        <w:t>3,825,059,421.00</w:t>
      </w:r>
      <w:r w:rsidRPr="00315C8E">
        <w:rPr>
          <w:rFonts w:ascii="宋体" w:hAnsi="宋体" w:hint="eastAsia"/>
          <w:color w:val="000000"/>
          <w:sz w:val="28"/>
          <w:szCs w:val="28"/>
        </w:rPr>
        <w:t>元。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93319" w:rsidRPr="00693319" w:rsidRDefault="00693319" w:rsidP="00693319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Pr="00693319">
        <w:rPr>
          <w:rFonts w:ascii="宋体" w:hAnsi="宋体" w:hint="eastAsia"/>
          <w:color w:val="000000"/>
          <w:sz w:val="28"/>
          <w:szCs w:val="28"/>
        </w:rPr>
        <w:t>于2018年10月25日（含）起，调整“乾元—满溢”120天开放式资产组合型人民币理财产品客户</w:t>
      </w:r>
      <w:proofErr w:type="gramStart"/>
      <w:r w:rsidRPr="00693319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93319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693319" w:rsidRPr="00693319" w:rsidRDefault="00693319" w:rsidP="00693319">
      <w:pPr>
        <w:adjustRightInd w:val="0"/>
        <w:snapToGrid w:val="0"/>
        <w:spacing w:line="20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</w:p>
    <w:tbl>
      <w:tblPr>
        <w:tblW w:w="4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208"/>
        <w:gridCol w:w="2369"/>
      </w:tblGrid>
      <w:tr w:rsidR="00693319" w:rsidRPr="00693319" w:rsidTr="00693319">
        <w:trPr>
          <w:trHeight w:val="20"/>
          <w:tblHeader/>
          <w:jc w:val="center"/>
        </w:trPr>
        <w:tc>
          <w:tcPr>
            <w:tcW w:w="2610" w:type="dxa"/>
            <w:vAlign w:val="center"/>
            <w:hideMark/>
          </w:tcPr>
          <w:p w:rsidR="00693319" w:rsidRPr="00693319" w:rsidRDefault="00693319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产品名称</w:t>
            </w:r>
          </w:p>
        </w:tc>
        <w:tc>
          <w:tcPr>
            <w:tcW w:w="2208" w:type="dxa"/>
            <w:vAlign w:val="center"/>
            <w:hideMark/>
          </w:tcPr>
          <w:p w:rsidR="00693319" w:rsidRPr="00693319" w:rsidRDefault="00693319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693319" w:rsidRPr="00693319" w:rsidRDefault="00693319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（调整前）</w:t>
            </w:r>
          </w:p>
        </w:tc>
        <w:tc>
          <w:tcPr>
            <w:tcW w:w="2369" w:type="dxa"/>
            <w:hideMark/>
          </w:tcPr>
          <w:p w:rsidR="00693319" w:rsidRPr="00693319" w:rsidRDefault="00693319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693319" w:rsidRPr="00693319" w:rsidRDefault="00693319" w:rsidP="00BA72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（调整后）</w:t>
            </w:r>
          </w:p>
        </w:tc>
      </w:tr>
      <w:tr w:rsidR="00693319" w:rsidRPr="00693319" w:rsidTr="00693319">
        <w:trPr>
          <w:trHeight w:val="466"/>
          <w:jc w:val="center"/>
        </w:trPr>
        <w:tc>
          <w:tcPr>
            <w:tcW w:w="2610" w:type="dxa"/>
            <w:vAlign w:val="center"/>
            <w:hideMark/>
          </w:tcPr>
          <w:p w:rsidR="00693319" w:rsidRPr="00693319" w:rsidRDefault="00693319" w:rsidP="00BA72EF">
            <w:pPr>
              <w:jc w:val="left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“乾元—满溢”120天</w:t>
            </w:r>
          </w:p>
        </w:tc>
        <w:tc>
          <w:tcPr>
            <w:tcW w:w="2208" w:type="dxa"/>
            <w:vAlign w:val="center"/>
            <w:hideMark/>
          </w:tcPr>
          <w:p w:rsidR="00693319" w:rsidRPr="00693319" w:rsidRDefault="00693319" w:rsidP="00BA72EF">
            <w:pPr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4.35%</w:t>
            </w:r>
          </w:p>
        </w:tc>
        <w:tc>
          <w:tcPr>
            <w:tcW w:w="2369" w:type="dxa"/>
            <w:vAlign w:val="center"/>
            <w:hideMark/>
          </w:tcPr>
          <w:p w:rsidR="00693319" w:rsidRPr="00693319" w:rsidRDefault="00693319" w:rsidP="00BA72EF">
            <w:pPr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693319">
              <w:rPr>
                <w:rFonts w:ascii="宋体" w:hAnsi="宋体" w:hint="eastAsia"/>
                <w:color w:val="000000"/>
                <w:sz w:val="22"/>
                <w:szCs w:val="28"/>
              </w:rPr>
              <w:t>3.90%</w:t>
            </w:r>
          </w:p>
        </w:tc>
      </w:tr>
    </w:tbl>
    <w:p w:rsidR="00693319" w:rsidRPr="00693319" w:rsidRDefault="00693319" w:rsidP="00693319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693319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693319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93319">
        <w:rPr>
          <w:rFonts w:ascii="宋体" w:hAnsi="宋体" w:hint="eastAsia"/>
          <w:color w:val="000000"/>
          <w:sz w:val="28"/>
          <w:szCs w:val="28"/>
        </w:rPr>
        <w:t>于2018年10月25日（含）起执行。对于2018年10月25日（不含）前已经购买成功且未赎回的存量投资本金，其中封闭期内的份额仍按照购买确认日当日的客户</w:t>
      </w:r>
      <w:proofErr w:type="gramStart"/>
      <w:r w:rsidRPr="00693319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93319">
        <w:rPr>
          <w:rFonts w:ascii="宋体" w:hAnsi="宋体" w:hint="eastAsia"/>
          <w:color w:val="000000"/>
          <w:sz w:val="28"/>
          <w:szCs w:val="28"/>
        </w:rPr>
        <w:t>计算投资收益，非封闭期内的份额从2018年10月25日（含）起按调整后的</w:t>
      </w:r>
      <w:proofErr w:type="gramStart"/>
      <w:r w:rsidRPr="00693319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93319">
        <w:rPr>
          <w:rFonts w:ascii="宋体" w:hAnsi="宋体" w:hint="eastAsia"/>
          <w:color w:val="000000"/>
          <w:sz w:val="28"/>
          <w:szCs w:val="28"/>
        </w:rPr>
        <w:t>计算投资收益。2018年10月25日（含）后购买的部分自动执行调整后的客户</w:t>
      </w:r>
      <w:proofErr w:type="gramStart"/>
      <w:r w:rsidRPr="00693319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693319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693319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693319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693319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693319">
        <w:rPr>
          <w:rFonts w:ascii="宋体" w:hAnsi="宋体" w:hint="eastAsia"/>
          <w:color w:val="000000"/>
          <w:sz w:val="28"/>
          <w:szCs w:val="28"/>
        </w:rPr>
        <w:t>为准。</w:t>
      </w:r>
    </w:p>
    <w:p w:rsidR="005F7E90" w:rsidRPr="00AA7A73" w:rsidRDefault="005F7E90" w:rsidP="005F7E90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693319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D16FB70" wp14:editId="331F021B">
            <wp:extent cx="2981325" cy="180022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Default="00693319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DB74D4" wp14:editId="4FDCE54E">
            <wp:extent cx="3285460" cy="1860697"/>
            <wp:effectExtent l="0" t="0" r="10795" b="2540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24E75" w:rsidRDefault="000B1283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="00424E75">
        <w:rPr>
          <w:rFonts w:ascii="宋体" w:hAnsi="宋体" w:hint="eastAsia"/>
          <w:b/>
          <w:color w:val="000000"/>
          <w:sz w:val="28"/>
          <w:szCs w:val="28"/>
        </w:rPr>
        <w:t>投</w:t>
      </w:r>
      <w:r w:rsidR="00424E75" w:rsidRPr="00EE774A">
        <w:rPr>
          <w:rFonts w:ascii="宋体" w:hAnsi="宋体" w:hint="eastAsia"/>
          <w:b/>
          <w:color w:val="000000"/>
          <w:sz w:val="28"/>
          <w:szCs w:val="28"/>
        </w:rPr>
        <w:t>资类</w:t>
      </w:r>
      <w:r w:rsidR="00424E75">
        <w:rPr>
          <w:rFonts w:ascii="宋体" w:hAnsi="宋体" w:hint="eastAsia"/>
          <w:b/>
          <w:color w:val="000000"/>
          <w:sz w:val="28"/>
          <w:szCs w:val="28"/>
        </w:rPr>
        <w:t>及其他类</w:t>
      </w:r>
      <w:r w:rsidR="00424E75" w:rsidRPr="00EE774A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7E595C" w:rsidRDefault="00693319" w:rsidP="00693319">
      <w:pPr>
        <w:spacing w:line="480" w:lineRule="exact"/>
        <w:ind w:firstLineChars="146" w:firstLine="307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16A1BD" wp14:editId="1947C287">
            <wp:simplePos x="0" y="0"/>
            <wp:positionH relativeFrom="column">
              <wp:posOffset>1142365</wp:posOffset>
            </wp:positionH>
            <wp:positionV relativeFrom="paragraph">
              <wp:posOffset>31750</wp:posOffset>
            </wp:positionV>
            <wp:extent cx="3124200" cy="1714500"/>
            <wp:effectExtent l="0" t="0" r="19050" b="19050"/>
            <wp:wrapNone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95C" w:rsidRDefault="007E595C" w:rsidP="00693319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7E595C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0B1283" w:rsidRDefault="00424E75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（四）</w:t>
      </w:r>
      <w:r w:rsidR="000B1283"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 w:rsidR="000B1283"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="000B1283"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7E595C" w:rsidRDefault="00693319" w:rsidP="00693319">
      <w:pPr>
        <w:spacing w:line="480" w:lineRule="exact"/>
        <w:ind w:firstLineChars="146" w:firstLine="307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4A0549" wp14:editId="28B9A2B4">
            <wp:simplePos x="0" y="0"/>
            <wp:positionH relativeFrom="column">
              <wp:posOffset>196215</wp:posOffset>
            </wp:positionH>
            <wp:positionV relativeFrom="paragraph">
              <wp:posOffset>25400</wp:posOffset>
            </wp:positionV>
            <wp:extent cx="5274310" cy="1985645"/>
            <wp:effectExtent l="0" t="0" r="21590" b="14605"/>
            <wp:wrapNone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693319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424E75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7E595C" w:rsidRDefault="007E595C" w:rsidP="00DD4A3E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</w:p>
    <w:p w:rsidR="00424E75" w:rsidRPr="00EE774A" w:rsidRDefault="00424E75" w:rsidP="00A908D0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（五）投资及其他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9E49D9" w:rsidRPr="009E49D9" w:rsidRDefault="00693319" w:rsidP="00CA201F">
      <w:pPr>
        <w:ind w:left="142" w:right="140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9304293" wp14:editId="4572FCFC">
            <wp:extent cx="5274310" cy="981919"/>
            <wp:effectExtent l="0" t="0" r="21590" b="2794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431E5" w:rsidRDefault="000B1283" w:rsidP="000B128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DD4A3E">
        <w:rPr>
          <w:rFonts w:ascii="宋体" w:hAnsi="宋体" w:hint="eastAsia"/>
          <w:color w:val="000000"/>
          <w:sz w:val="28"/>
          <w:szCs w:val="28"/>
        </w:rPr>
        <w:t>11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DD4A3E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0B1283" w:rsidRDefault="000B1283" w:rsidP="00B10BEF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0B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02" w:rsidRDefault="00FC5002" w:rsidP="000B1283">
      <w:r>
        <w:separator/>
      </w:r>
    </w:p>
  </w:endnote>
  <w:endnote w:type="continuationSeparator" w:id="0">
    <w:p w:rsidR="00FC5002" w:rsidRDefault="00FC5002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02" w:rsidRDefault="00FC5002" w:rsidP="000B1283">
      <w:r>
        <w:separator/>
      </w:r>
    </w:p>
  </w:footnote>
  <w:footnote w:type="continuationSeparator" w:id="0">
    <w:p w:rsidR="00FC5002" w:rsidRDefault="00FC5002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22FAD"/>
    <w:rsid w:val="00023BBB"/>
    <w:rsid w:val="00093087"/>
    <w:rsid w:val="000B1283"/>
    <w:rsid w:val="000B16EF"/>
    <w:rsid w:val="000B3870"/>
    <w:rsid w:val="000B683A"/>
    <w:rsid w:val="000C2BB6"/>
    <w:rsid w:val="00101F83"/>
    <w:rsid w:val="0011055C"/>
    <w:rsid w:val="00127555"/>
    <w:rsid w:val="001307FC"/>
    <w:rsid w:val="001415F8"/>
    <w:rsid w:val="00141F6E"/>
    <w:rsid w:val="0015390D"/>
    <w:rsid w:val="00153C80"/>
    <w:rsid w:val="00182852"/>
    <w:rsid w:val="001C4A95"/>
    <w:rsid w:val="00201454"/>
    <w:rsid w:val="00241BFB"/>
    <w:rsid w:val="00243466"/>
    <w:rsid w:val="00265912"/>
    <w:rsid w:val="002C5665"/>
    <w:rsid w:val="002D207F"/>
    <w:rsid w:val="00310D79"/>
    <w:rsid w:val="00315C8E"/>
    <w:rsid w:val="00344398"/>
    <w:rsid w:val="003936FB"/>
    <w:rsid w:val="003E01F2"/>
    <w:rsid w:val="00401CF9"/>
    <w:rsid w:val="00417B6F"/>
    <w:rsid w:val="004204E2"/>
    <w:rsid w:val="00424E75"/>
    <w:rsid w:val="004410CF"/>
    <w:rsid w:val="004C3E31"/>
    <w:rsid w:val="004D73C5"/>
    <w:rsid w:val="004F5658"/>
    <w:rsid w:val="005527B7"/>
    <w:rsid w:val="00574838"/>
    <w:rsid w:val="005861EE"/>
    <w:rsid w:val="00594AC7"/>
    <w:rsid w:val="005B2FAA"/>
    <w:rsid w:val="005F7E90"/>
    <w:rsid w:val="006060D3"/>
    <w:rsid w:val="00693319"/>
    <w:rsid w:val="006B3011"/>
    <w:rsid w:val="006D3BE6"/>
    <w:rsid w:val="006E3180"/>
    <w:rsid w:val="00745046"/>
    <w:rsid w:val="00785FA8"/>
    <w:rsid w:val="007A44C4"/>
    <w:rsid w:val="007D3020"/>
    <w:rsid w:val="007E595C"/>
    <w:rsid w:val="008060A7"/>
    <w:rsid w:val="008202E8"/>
    <w:rsid w:val="00830F3B"/>
    <w:rsid w:val="00835921"/>
    <w:rsid w:val="008431E5"/>
    <w:rsid w:val="008A5DE3"/>
    <w:rsid w:val="008B48D4"/>
    <w:rsid w:val="008C635A"/>
    <w:rsid w:val="008F15F8"/>
    <w:rsid w:val="008F1F29"/>
    <w:rsid w:val="00916BB5"/>
    <w:rsid w:val="009519EB"/>
    <w:rsid w:val="00970E29"/>
    <w:rsid w:val="009C5A9F"/>
    <w:rsid w:val="009E49D9"/>
    <w:rsid w:val="00A37A76"/>
    <w:rsid w:val="00A454DC"/>
    <w:rsid w:val="00A63A1E"/>
    <w:rsid w:val="00A66F45"/>
    <w:rsid w:val="00A908D0"/>
    <w:rsid w:val="00AA215B"/>
    <w:rsid w:val="00AC5803"/>
    <w:rsid w:val="00B10BEF"/>
    <w:rsid w:val="00B61805"/>
    <w:rsid w:val="00BC5EA1"/>
    <w:rsid w:val="00BD782E"/>
    <w:rsid w:val="00BF1B8C"/>
    <w:rsid w:val="00C239F1"/>
    <w:rsid w:val="00C4532F"/>
    <w:rsid w:val="00C50DA2"/>
    <w:rsid w:val="00C75735"/>
    <w:rsid w:val="00CA201F"/>
    <w:rsid w:val="00CA3871"/>
    <w:rsid w:val="00CF7EB6"/>
    <w:rsid w:val="00D0088F"/>
    <w:rsid w:val="00D41D41"/>
    <w:rsid w:val="00D43A9E"/>
    <w:rsid w:val="00D51792"/>
    <w:rsid w:val="00D57C47"/>
    <w:rsid w:val="00D64CC9"/>
    <w:rsid w:val="00DC737C"/>
    <w:rsid w:val="00DD0DB7"/>
    <w:rsid w:val="00DD3E4A"/>
    <w:rsid w:val="00DD4796"/>
    <w:rsid w:val="00DD4A3E"/>
    <w:rsid w:val="00DD71F4"/>
    <w:rsid w:val="00E21A22"/>
    <w:rsid w:val="00E32909"/>
    <w:rsid w:val="00E35735"/>
    <w:rsid w:val="00E82E92"/>
    <w:rsid w:val="00E86604"/>
    <w:rsid w:val="00EB6A09"/>
    <w:rsid w:val="00F451F4"/>
    <w:rsid w:val="00F75DB6"/>
    <w:rsid w:val="00F77876"/>
    <w:rsid w:val="00FA6499"/>
    <w:rsid w:val="00FB24FD"/>
    <w:rsid w:val="00FB28FD"/>
    <w:rsid w:val="00FC5002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1031%20&#25353;&#21608;&#25259;&#38706;\2018&#24180;10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477473820927016E-2"/>
          <c:y val="0.13168226613182787"/>
          <c:w val="0.66327705170874263"/>
          <c:h val="0.86831773386817213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'2018年10月'!$A$323:$A$325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'2018年10月'!$B$323:$B$325</c:f>
              <c:numCache>
                <c:formatCode>0.00%</c:formatCode>
                <c:ptCount val="3"/>
                <c:pt idx="0">
                  <c:v>0.64870022724876664</c:v>
                </c:pt>
                <c:pt idx="1">
                  <c:v>2.8093242223210038E-2</c:v>
                </c:pt>
                <c:pt idx="2">
                  <c:v>0.32320653052802328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3544850024737318"/>
          <c:y val="0.29795942173894929"/>
          <c:w val="0.26455149975262682"/>
          <c:h val="0.3411867960949326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'2018年10月'!$A$332:$A$336</c:f>
              <c:strCache>
                <c:ptCount val="5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无</c:v>
                </c:pt>
              </c:strCache>
            </c:strRef>
          </c:cat>
          <c:val>
            <c:numRef>
              <c:f>'2018年10月'!$B$332:$B$336</c:f>
              <c:numCache>
                <c:formatCode>0.00%</c:formatCode>
                <c:ptCount val="5"/>
                <c:pt idx="0">
                  <c:v>9.390506119918951E-2</c:v>
                </c:pt>
                <c:pt idx="1">
                  <c:v>3.8480102896436143E-2</c:v>
                </c:pt>
                <c:pt idx="2">
                  <c:v>0.51625913001822377</c:v>
                </c:pt>
                <c:pt idx="3">
                  <c:v>0.22548621043051836</c:v>
                </c:pt>
                <c:pt idx="4">
                  <c:v>0.12586949545563225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'2018年10月'!$A$343</c:f>
              <c:strCache>
                <c:ptCount val="1"/>
                <c:pt idx="0">
                  <c:v>无</c:v>
                </c:pt>
              </c:strCache>
            </c:strRef>
          </c:cat>
          <c:val>
            <c:numRef>
              <c:f>'2018年10月'!$B$343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146100618541564E-2"/>
          <c:y val="6.0647999912873958E-2"/>
          <c:w val="0.9098072793348384"/>
          <c:h val="0.798106751178924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'2018年10月'!$B$347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'2018年10月'!$A$348:$A$353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'2018年10月'!$B$348:$B$353</c:f>
              <c:numCache>
                <c:formatCode>0.00%</c:formatCode>
                <c:ptCount val="6"/>
                <c:pt idx="0">
                  <c:v>0.59865612306146976</c:v>
                </c:pt>
                <c:pt idx="1">
                  <c:v>1.6542847974168811E-2</c:v>
                </c:pt>
                <c:pt idx="2">
                  <c:v>0.16902475104042045</c:v>
                </c:pt>
                <c:pt idx="3">
                  <c:v>7.1925425974647003E-2</c:v>
                </c:pt>
                <c:pt idx="4">
                  <c:v>0</c:v>
                </c:pt>
                <c:pt idx="5">
                  <c:v>0.14385085194929401</c:v>
                </c:pt>
              </c:numCache>
            </c:numRef>
          </c:val>
        </c:ser>
        <c:ser>
          <c:idx val="1"/>
          <c:order val="1"/>
          <c:tx>
            <c:strRef>
              <c:f>'2018年10月'!$C$347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'2018年10月'!$A$348:$A$353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'2018年10月'!$C$348:$C$353</c:f>
              <c:numCache>
                <c:formatCode>0.00%</c:formatCode>
                <c:ptCount val="6"/>
                <c:pt idx="0">
                  <c:v>0.49862951483609885</c:v>
                </c:pt>
                <c:pt idx="1">
                  <c:v>1.9893962682247475E-2</c:v>
                </c:pt>
                <c:pt idx="2">
                  <c:v>0.17000295383011479</c:v>
                </c:pt>
                <c:pt idx="3">
                  <c:v>7.2341682480899908E-2</c:v>
                </c:pt>
                <c:pt idx="4">
                  <c:v>9.4448521208839203E-2</c:v>
                </c:pt>
                <c:pt idx="5">
                  <c:v>0.14468336496179982</c:v>
                </c:pt>
              </c:numCache>
            </c:numRef>
          </c:val>
        </c:ser>
        <c:ser>
          <c:idx val="2"/>
          <c:order val="2"/>
          <c:tx>
            <c:strRef>
              <c:f>'2018年10月'!$D$347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'2018年10月'!$A$348:$A$353</c:f>
              <c:strCache>
                <c:ptCount val="6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房地产业</c:v>
                </c:pt>
                <c:pt idx="4">
                  <c:v>交通运输、仓储和邮政业</c:v>
                </c:pt>
                <c:pt idx="5">
                  <c:v>制造业</c:v>
                </c:pt>
              </c:strCache>
            </c:strRef>
          </c:cat>
          <c:val>
            <c:numRef>
              <c:f>'2018年10月'!$D$348:$D$353</c:f>
              <c:numCache>
                <c:formatCode>0.00%</c:formatCode>
                <c:ptCount val="6"/>
                <c:pt idx="0">
                  <c:v>0.10002660822537091</c:v>
                </c:pt>
                <c:pt idx="1">
                  <c:v>-3.3511147080786639E-3</c:v>
                </c:pt>
                <c:pt idx="2">
                  <c:v>-9.7820278969434904E-4</c:v>
                </c:pt>
                <c:pt idx="3">
                  <c:v>-4.1625650625290445E-4</c:v>
                </c:pt>
                <c:pt idx="4">
                  <c:v>-9.4448521208839203E-2</c:v>
                </c:pt>
                <c:pt idx="5">
                  <c:v>-8.3251301250580889E-4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732608"/>
        <c:axId val="243990912"/>
      </c:barChart>
      <c:catAx>
        <c:axId val="113732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243990912"/>
        <c:crosses val="autoZero"/>
        <c:auto val="1"/>
        <c:lblAlgn val="ctr"/>
        <c:lblOffset val="100"/>
        <c:noMultiLvlLbl val="0"/>
      </c:catAx>
      <c:valAx>
        <c:axId val="243990912"/>
        <c:scaling>
          <c:orientation val="minMax"/>
          <c:max val="0.60000000000000009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1137326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sz="800" baseline="0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460006328996109"/>
          <c:y val="0.11640221339183718"/>
          <c:w val="0.68004058003387868"/>
          <c:h val="0.618500702829398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'2018年10月'!$B$357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'2018年10月'!$A$358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'2018年10月'!$B$358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'2018年10月'!$C$357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'2018年10月'!$A$358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'2018年10月'!$C$358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'2018年10月'!$D$357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'2018年10月'!$A$358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'2018年10月'!$D$358</c:f>
              <c:numCache>
                <c:formatCode>0.00%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735616"/>
        <c:axId val="100741504"/>
      </c:barChart>
      <c:catAx>
        <c:axId val="100735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0741504"/>
        <c:crosses val="autoZero"/>
        <c:auto val="1"/>
        <c:lblAlgn val="ctr"/>
        <c:lblOffset val="100"/>
        <c:noMultiLvlLbl val="0"/>
      </c:catAx>
      <c:valAx>
        <c:axId val="100741504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00735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754453565644714"/>
          <c:y val="0.12831296087989003"/>
          <c:w val="0.14670091770443583"/>
          <c:h val="0.57406124234470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2</cp:revision>
  <dcterms:created xsi:type="dcterms:W3CDTF">2018-11-02T09:44:00Z</dcterms:created>
  <dcterms:modified xsi:type="dcterms:W3CDTF">2018-11-02T09:44:00Z</dcterms:modified>
</cp:coreProperties>
</file>